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视觉暂留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9686动力机械系列的视觉暂留，了解视觉暂留特点，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一个视觉暂留。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1、教学目标：设计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视觉暂留的模型。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齿轮传动、齿轮加速系统、视觉滞留现象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(2).技能目标：学习加速系统、理解视觉滞留现象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(3)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视觉滞留现象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加速系统、理解视觉滞留现象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通过故事和提问引入引出本节课的主题：稻草人。充分调动孩子们的积极性和兴趣。为更好的完成本节课发任务做好准备。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（引入之后播放关于视觉暂留的视频）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>1、同学们有没有看过以前的老式电影放映机，它上面是一张张图片连接起来的，可是奇怪的是这些图片放映出来的明明是动画啊，这是怎么回事呢？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>2、是因为我们人会有视觉暂留效应，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"https://baike.baidu.com/item/%E4%BA%BA%E7%9C%BC/2058520" \t "https://baike.baidu.com/item/%E8%A7%86%E8%A7%89%E6%9A%82%E7%95%99/_blank"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人眼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在观察景物时，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"https://baike.baidu.com/item/%E5%85%89" \t "https://baike.baidu.com/item/%E8%A7%86%E8%A7%89%E6%9A%82%E7%95%99/_blank"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信号传入大脑神经，需经过一段短暂的时间，光的作用结束后，视觉形象并不立即消失，这种残留的视觉称“后像”，视觉的这一现象则被称为“视觉暂留”。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>3、老师为同学们准备了一个道具，在这张长方形的纸条上印有几幅连贯的图画，我们搭建一个机械来带动它旋转，来体会视觉暂留。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lang w:val="en-US" w:eastAsia="zh-CN"/>
              </w:rPr>
              <w:t>4、我们大家搭建的机械上要选择合适的齿轮组来改变道具的转速，让道具图画变动的频率最适合我们的视觉感受。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为什么会出现视觉暂留的现象？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在一次加速的情况下怎么可以让速度更快呢？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搭建底座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将图画固定在轴上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搭建一个底座，使用冠齿轮垂直传动给竖直的长轴</w:t>
            </w:r>
          </w:p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动手在一张纸上一面画出小鸟，另一面画出鸟笼（或道具图画）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、把纸片固定到长轴上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、使用电机带动模型旋转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测试是否可以看见小鸟在笼子里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测试是否可以看见小鸟在笼子里？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视觉暂留是怎么实现的？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用哪组齿轮组最后看到的动画连贯性是最好的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5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6"/>
              </w:numP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讨论视觉暂留给我们带来的感受。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436445"/>
    <w:multiLevelType w:val="singleLevel"/>
    <w:tmpl w:val="AC43644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C884119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1E053016"/>
    <w:rsid w:val="1FB40CD6"/>
    <w:rsid w:val="222766BB"/>
    <w:rsid w:val="232C62EE"/>
    <w:rsid w:val="23F909EC"/>
    <w:rsid w:val="262A2A71"/>
    <w:rsid w:val="266161E7"/>
    <w:rsid w:val="27CA5A42"/>
    <w:rsid w:val="2B4A668B"/>
    <w:rsid w:val="2BB87374"/>
    <w:rsid w:val="2BC40CF7"/>
    <w:rsid w:val="2BEE52BE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62170"/>
    <w:rsid w:val="5DB773C3"/>
    <w:rsid w:val="5FC627A0"/>
    <w:rsid w:val="62A145B3"/>
    <w:rsid w:val="64D24F00"/>
    <w:rsid w:val="651778F4"/>
    <w:rsid w:val="65D0570F"/>
    <w:rsid w:val="66C92074"/>
    <w:rsid w:val="679B21AA"/>
    <w:rsid w:val="68540F10"/>
    <w:rsid w:val="68822739"/>
    <w:rsid w:val="6C2420EE"/>
    <w:rsid w:val="6D156ED9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qFormat/>
    <w:uiPriority w:val="0"/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1347</Words>
  <Characters>1413</Characters>
  <Paragraphs>152</Paragraphs>
  <TotalTime>1</TotalTime>
  <ScaleCrop>false</ScaleCrop>
  <LinksUpToDate>false</LinksUpToDate>
  <CharactersWithSpaces>1428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2023-04-12T08:50:22Z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DCCCD653BD6A4A549930C2BDCA9718E2</vt:lpwstr>
  </property>
</Properties>
</file>